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351 vom 20. Mai 2015</w:t>
      </w:r>
    </w:p>
    <w:p>
      <w:r>
        <w:t>BL Gerichte, 2015-05-20, DE</w:t>
      </w:r>
    </w:p>
    <w:p>
      <w:r>
        <w:rPr>
          <w:b/>
        </w:rPr>
        <w:t xml:space="preserve">Quelle: </w:t>
      </w:r>
      <w:r>
        <w:t>https://mcp.opencaselaw.ch/entscheid/bl_gerichte_810 2014 351</w:t>
      </w:r>
    </w:p>
    <w:p>
      <w:r>
        <w:t>FR: BL_GERICHTE 810 2014 351 du 20 mai 2015</w:t>
      </w:r>
    </w:p>
    <w:p>
      <w:r>
        <w:t>IT: BL_GERICHTE 810 2014 351 del 20 maggio 2015</w:t>
      </w:r>
    </w:p>
    <w:p>
      <w:pPr>
        <w:pStyle w:val="Heading2"/>
      </w:pPr>
      <w:r>
        <w:t>Regeste</w:t>
      </w:r>
    </w:p>
    <w:p>
      <w:r>
        <w:t>Widerruf der Niederlassungsbewilligung und Wegweisung (RRB Nr. 1699 vom 11. November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Es werden keine Verfahrenskosten erhoben. Der geleistete Kostenvorschuss in der Höhe von Fr. 2‘100.-- wird dem Beschwerdeführer zurückerstattet.</w:t>
      </w:r>
    </w:p>
    <w:p>
      <w:r>
        <w:rPr>
          <w:b/>
        </w:rPr>
        <w:t>E. 4</w:t>
      </w:r>
    </w:p>
    <w:p>
      <w:r>
        <w:t>Der Regierungsrat hat dem Beschwerdeführer für das vorliegende Verfahren eine Parteientschädigung in der Höhe von Fr. 2‘750.-- (inkl. Auslagen und 8 % MWST) zu bezahlen.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